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0D5634B1" w14:textId="77777777" w:rsidR="00CF2EAC" w:rsidRPr="000C5DA0" w:rsidRDefault="00F20995" w:rsidP="00CF2E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CF2EAC" w:rsidRPr="00EC5FD6">
        <w:rPr>
          <w:rFonts w:ascii="Verdana" w:hAnsi="Verdana"/>
          <w:b/>
        </w:rPr>
        <w:t>organizační jednotka Obl</w:t>
      </w:r>
      <w:r w:rsidR="00CF2EAC">
        <w:rPr>
          <w:rFonts w:ascii="Verdana" w:hAnsi="Verdana"/>
          <w:b/>
        </w:rPr>
        <w:t>astní ředitelství Brno</w:t>
      </w:r>
    </w:p>
    <w:p w14:paraId="3F302CB0" w14:textId="77777777" w:rsidR="00CF2EAC" w:rsidRDefault="00CF2EAC" w:rsidP="00CF2E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3D2296">
        <w:rPr>
          <w:rFonts w:eastAsia="Times New Roman" w:cs="Times New Roman"/>
          <w:lang w:eastAsia="cs-CZ"/>
        </w:rPr>
        <w:t>zastoupená Ing.</w:t>
      </w:r>
      <w:r w:rsidRPr="00DE2AED">
        <w:rPr>
          <w:rFonts w:eastAsia="Times New Roman" w:cs="Times New Roman"/>
          <w:lang w:eastAsia="cs-CZ"/>
        </w:rPr>
        <w:t xml:space="preserve"> Liborem Tkáčem</w:t>
      </w:r>
      <w:r>
        <w:rPr>
          <w:rFonts w:eastAsia="Times New Roman" w:cs="Times New Roman"/>
          <w:lang w:eastAsia="cs-CZ"/>
        </w:rPr>
        <w:t>, MBA</w:t>
      </w:r>
      <w:r w:rsidRPr="00DE2AED">
        <w:rPr>
          <w:rFonts w:eastAsia="Times New Roman" w:cs="Times New Roman"/>
          <w:lang w:eastAsia="cs-CZ"/>
        </w:rPr>
        <w:t>, ředitelem Oblastního ředitelství Brno</w:t>
      </w:r>
    </w:p>
    <w:p w14:paraId="362F333B" w14:textId="77777777" w:rsidR="00CF2EAC" w:rsidRPr="000C5DA0" w:rsidRDefault="00CF2EAC" w:rsidP="00CF2E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BCD295D" w14:textId="77777777" w:rsidR="00CF2EAC" w:rsidRPr="003D2296" w:rsidRDefault="00CF2EAC" w:rsidP="00CF2EAC">
      <w:pPr>
        <w:pStyle w:val="Textbezodsazen"/>
        <w:spacing w:after="0"/>
        <w:ind w:left="708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18B8A0D7" w14:textId="77777777" w:rsidR="00CF2EAC" w:rsidRPr="003B0189" w:rsidRDefault="00CF2EAC" w:rsidP="00CF2EAC">
      <w:pPr>
        <w:spacing w:after="0"/>
        <w:ind w:left="1418"/>
        <w:jc w:val="both"/>
      </w:pPr>
      <w:r w:rsidRPr="003B0189">
        <w:t>Správa železnic, státní organizace</w:t>
      </w:r>
    </w:p>
    <w:p w14:paraId="7DFF1997" w14:textId="77777777" w:rsidR="00CF2EAC" w:rsidRPr="003B0189" w:rsidRDefault="00CF2EAC" w:rsidP="00CF2EAC">
      <w:pPr>
        <w:spacing w:after="0"/>
        <w:ind w:left="1418"/>
        <w:jc w:val="both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3E85AC9E" w14:textId="77777777" w:rsidR="00CF2EAC" w:rsidRPr="003B0189" w:rsidRDefault="00CF2EAC" w:rsidP="00CF2EAC">
      <w:pPr>
        <w:spacing w:after="120"/>
        <w:ind w:left="1418"/>
        <w:jc w:val="both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293BFF7E" w14:textId="77777777" w:rsidR="00CF2EAC" w:rsidRPr="003D2296" w:rsidRDefault="00CF2EAC" w:rsidP="00CF2EAC">
      <w:pPr>
        <w:spacing w:after="0" w:line="276" w:lineRule="auto"/>
        <w:ind w:left="708" w:firstLine="708"/>
        <w:jc w:val="both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7DC5534B" w14:textId="77777777" w:rsidR="00CF2EAC" w:rsidRPr="003B0189" w:rsidRDefault="00E8495E" w:rsidP="00CF2EAC">
      <w:pPr>
        <w:spacing w:after="0" w:line="240" w:lineRule="auto"/>
        <w:ind w:left="708" w:firstLine="708"/>
        <w:jc w:val="both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CF2EAC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1619723D" w14:textId="77777777" w:rsidR="00CF2EAC" w:rsidRPr="003B0189" w:rsidRDefault="00CF2EAC" w:rsidP="00CF2EAC">
      <w:pPr>
        <w:spacing w:after="0" w:line="240" w:lineRule="auto"/>
        <w:jc w:val="both"/>
      </w:pPr>
    </w:p>
    <w:p w14:paraId="694049BA" w14:textId="77777777" w:rsidR="00CF2EAC" w:rsidRPr="003D2296" w:rsidRDefault="00CF2EAC" w:rsidP="00CF2EAC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62594DEB" w14:textId="77777777" w:rsidR="00CF2EAC" w:rsidRPr="003B0189" w:rsidRDefault="00E8495E" w:rsidP="00CF2EAC">
      <w:pPr>
        <w:spacing w:after="0" w:line="240" w:lineRule="auto"/>
        <w:ind w:left="708" w:firstLine="708"/>
        <w:jc w:val="both"/>
      </w:pPr>
      <w:hyperlink r:id="rId12" w:history="1">
        <w:r w:rsidR="00CF2EAC" w:rsidRPr="003B0189">
          <w:rPr>
            <w:color w:val="0563C1" w:themeColor="hyperlink"/>
            <w:u w:val="single"/>
          </w:rPr>
          <w:t>ePodatelnaCFU@spravazeleznic.cz</w:t>
        </w:r>
      </w:hyperlink>
      <w:r w:rsidR="00CF2EAC" w:rsidRPr="003B0189">
        <w:t xml:space="preserve"> </w:t>
      </w:r>
    </w:p>
    <w:p w14:paraId="170F190C" w14:textId="77777777" w:rsidR="00CF2EAC" w:rsidRPr="003B0189" w:rsidRDefault="00CF2EAC" w:rsidP="00CF2EAC">
      <w:pPr>
        <w:spacing w:after="0" w:line="240" w:lineRule="auto"/>
        <w:jc w:val="both"/>
      </w:pPr>
    </w:p>
    <w:p w14:paraId="3940B1AF" w14:textId="77777777" w:rsidR="00CF2EAC" w:rsidRPr="003D2296" w:rsidRDefault="00CF2EAC" w:rsidP="00CF2EAC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01ED55A1" w14:textId="77777777" w:rsidR="00CF2EAC" w:rsidRPr="003B0189" w:rsidRDefault="00CF2EAC" w:rsidP="00CF2EAC">
      <w:pPr>
        <w:spacing w:after="0" w:line="240" w:lineRule="auto"/>
        <w:ind w:left="708" w:firstLine="708"/>
        <w:jc w:val="both"/>
      </w:pPr>
      <w:r w:rsidRPr="003B0189">
        <w:t xml:space="preserve">Správa železnic, státní organizace, </w:t>
      </w:r>
    </w:p>
    <w:p w14:paraId="08FAA6CE" w14:textId="77777777" w:rsidR="00CF2EAC" w:rsidRPr="003B0189" w:rsidRDefault="00CF2EAC" w:rsidP="00CF2EAC">
      <w:pPr>
        <w:spacing w:after="0" w:line="240" w:lineRule="auto"/>
        <w:ind w:left="708" w:firstLine="708"/>
        <w:jc w:val="both"/>
      </w:pPr>
      <w:r w:rsidRPr="003B0189">
        <w:t>Centrální finanční účtárna Čechy</w:t>
      </w:r>
    </w:p>
    <w:p w14:paraId="12DDF1DA" w14:textId="77777777" w:rsidR="00CF2EAC" w:rsidRPr="003B0189" w:rsidRDefault="00CF2EAC" w:rsidP="00CF2EAC">
      <w:pPr>
        <w:spacing w:after="120" w:line="240" w:lineRule="auto"/>
        <w:ind w:left="708" w:firstLine="708"/>
        <w:jc w:val="both"/>
      </w:pP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CF2EA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 xml:space="preserve">údaje o statutárním </w:t>
      </w:r>
      <w:r w:rsidRPr="00CF2EAC">
        <w:rPr>
          <w:rFonts w:eastAsia="Times New Roman" w:cs="Times New Roman"/>
          <w:i/>
          <w:lang w:eastAsia="cs-CZ"/>
        </w:rPr>
        <w:t>orgánu nebo jiné oprávněné osobě</w:t>
      </w:r>
    </w:p>
    <w:p w14:paraId="555F4458" w14:textId="77777777" w:rsidR="00D85C5B" w:rsidRPr="00CF2EAC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CF2EAC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0358252" w:rsidR="00D85C5B" w:rsidRPr="000C5DA0" w:rsidRDefault="00D85C5B" w:rsidP="002B378D">
      <w:r w:rsidRPr="00CF2EAC">
        <w:rPr>
          <w:lang w:eastAsia="cs-CZ"/>
        </w:rPr>
        <w:t xml:space="preserve">Tato smlouva je uzavřena na základě výsledků </w:t>
      </w:r>
      <w:r w:rsidR="00677BC8" w:rsidRPr="00CF2EAC">
        <w:rPr>
          <w:lang w:eastAsia="cs-CZ"/>
        </w:rPr>
        <w:t>výběrového</w:t>
      </w:r>
      <w:r w:rsidRPr="00CF2EAC">
        <w:rPr>
          <w:lang w:eastAsia="cs-CZ"/>
        </w:rPr>
        <w:t xml:space="preserve"> řízení veřejné zakázky s názvem „ </w:t>
      </w:r>
      <w:r w:rsidR="00CF2EAC" w:rsidRPr="00CF2EAC">
        <w:rPr>
          <w:rFonts w:ascii="Verdana" w:eastAsia="Calibri" w:hAnsi="Verdana"/>
          <w:b/>
        </w:rPr>
        <w:t>Dodávka olejů, tuků a čistidel pro obvod OŘ Brno</w:t>
      </w:r>
      <w:r w:rsidRPr="00CF2EAC">
        <w:rPr>
          <w:lang w:eastAsia="cs-CZ"/>
        </w:rPr>
        <w:t>“</w:t>
      </w:r>
      <w:r w:rsidR="00CF2EAC">
        <w:rPr>
          <w:lang w:eastAsia="cs-CZ"/>
        </w:rPr>
        <w:t xml:space="preserve"> </w:t>
      </w:r>
      <w:proofErr w:type="gramStart"/>
      <w:r w:rsidR="001C22E7" w:rsidRPr="00CF2EAC">
        <w:rPr>
          <w:rFonts w:eastAsia="Times New Roman" w:cs="Times New Roman"/>
          <w:lang w:eastAsia="cs-CZ"/>
        </w:rPr>
        <w:t>č.j.</w:t>
      </w:r>
      <w:proofErr w:type="gramEnd"/>
      <w:r w:rsidR="001C22E7" w:rsidRPr="00CF2EAC">
        <w:rPr>
          <w:rFonts w:eastAsia="Times New Roman" w:cs="Times New Roman"/>
          <w:lang w:eastAsia="cs-CZ"/>
        </w:rPr>
        <w:t xml:space="preserve"> veřejné zakázky</w:t>
      </w:r>
      <w:r w:rsidR="00F20995" w:rsidRPr="00CF2EAC">
        <w:rPr>
          <w:rFonts w:eastAsia="Times New Roman" w:cs="Times New Roman"/>
          <w:lang w:eastAsia="cs-CZ"/>
        </w:rPr>
        <w:t xml:space="preserve"> </w:t>
      </w:r>
      <w:r w:rsidR="00CF2EAC" w:rsidRPr="00CF2EAC">
        <w:t xml:space="preserve">3999/2023-SŽ-OŘ BNO-NPI </w:t>
      </w:r>
      <w:r w:rsidRPr="00CF2EAC">
        <w:rPr>
          <w:lang w:eastAsia="cs-CZ"/>
        </w:rPr>
        <w:t>(dále jen „</w:t>
      </w:r>
      <w:r w:rsidR="003D06BE" w:rsidRPr="00CF2EAC">
        <w:rPr>
          <w:b/>
          <w:lang w:eastAsia="cs-CZ"/>
        </w:rPr>
        <w:t xml:space="preserve">Veřejná </w:t>
      </w:r>
      <w:r w:rsidRPr="00CF2EAC">
        <w:rPr>
          <w:b/>
          <w:lang w:eastAsia="cs-CZ"/>
        </w:rPr>
        <w:t>zakázka</w:t>
      </w:r>
      <w:r w:rsidRPr="00CF2EAC">
        <w:rPr>
          <w:lang w:eastAsia="cs-CZ"/>
        </w:rPr>
        <w:t xml:space="preserve">“). Jednotlivá ustanovení této </w:t>
      </w:r>
      <w:r w:rsidR="008B1447" w:rsidRPr="00CF2EAC">
        <w:rPr>
          <w:lang w:eastAsia="cs-CZ"/>
        </w:rPr>
        <w:t>Sml</w:t>
      </w:r>
      <w:r w:rsidRPr="00CF2EAC">
        <w:rPr>
          <w:lang w:eastAsia="cs-CZ"/>
        </w:rPr>
        <w:t>ouvy tak budou vykládána v souladu se zadávacími podmínkami veřejné 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289ABB3" w:rsidR="00D85C5B" w:rsidRPr="00CF2EAC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2EAC">
        <w:rPr>
          <w:rFonts w:eastAsia="Times New Roman" w:cs="Times New Roman"/>
          <w:lang w:eastAsia="cs-CZ"/>
        </w:rPr>
        <w:t xml:space="preserve">Předmětem koupě je </w:t>
      </w:r>
      <w:r w:rsidR="00CF2EAC" w:rsidRPr="00CF2EAC">
        <w:rPr>
          <w:rFonts w:eastAsia="Times New Roman" w:cs="Times New Roman"/>
          <w:lang w:eastAsia="cs-CZ"/>
        </w:rPr>
        <w:t>d</w:t>
      </w:r>
      <w:r w:rsidR="00CF2EAC" w:rsidRPr="00CF2EAC">
        <w:rPr>
          <w:rFonts w:ascii="Verdana" w:eastAsia="Calibri" w:hAnsi="Verdana"/>
        </w:rPr>
        <w:t>odávka olejů, tuků a čistidel</w:t>
      </w:r>
      <w:r w:rsidRPr="00CF2EAC">
        <w:rPr>
          <w:rFonts w:eastAsia="Times New Roman" w:cs="Times New Roman"/>
          <w:lang w:eastAsia="cs-CZ"/>
        </w:rPr>
        <w:t>.</w:t>
      </w:r>
    </w:p>
    <w:p w14:paraId="01CA54BB" w14:textId="151174ED" w:rsidR="00D85C5B" w:rsidRPr="00E450F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50F9">
        <w:rPr>
          <w:rFonts w:eastAsia="Times New Roman" w:cs="Times New Roman"/>
          <w:lang w:eastAsia="cs-CZ"/>
        </w:rPr>
        <w:t>Přesná specifikace je uvedena v příloze č.</w:t>
      </w:r>
      <w:r w:rsidR="00E14AD2">
        <w:rPr>
          <w:rFonts w:eastAsia="Times New Roman" w:cs="Times New Roman"/>
          <w:lang w:eastAsia="cs-CZ"/>
        </w:rPr>
        <w:t xml:space="preserve"> </w:t>
      </w:r>
      <w:r w:rsidR="00CF2EAC" w:rsidRPr="00E450F9">
        <w:rPr>
          <w:rFonts w:eastAsia="Times New Roman" w:cs="Times New Roman"/>
          <w:lang w:eastAsia="cs-CZ"/>
        </w:rPr>
        <w:t xml:space="preserve">1 </w:t>
      </w:r>
      <w:r w:rsidRPr="00E450F9">
        <w:rPr>
          <w:rFonts w:eastAsia="Times New Roman" w:cs="Times New Roman"/>
          <w:lang w:eastAsia="cs-CZ"/>
        </w:rPr>
        <w:t xml:space="preserve">této </w:t>
      </w:r>
      <w:r w:rsidR="008B1447" w:rsidRPr="00E450F9">
        <w:rPr>
          <w:rFonts w:eastAsia="Times New Roman" w:cs="Times New Roman"/>
          <w:lang w:eastAsia="cs-CZ"/>
        </w:rPr>
        <w:t>Sml</w:t>
      </w:r>
      <w:r w:rsidRPr="00E450F9">
        <w:rPr>
          <w:rFonts w:eastAsia="Times New Roman" w:cs="Times New Roman"/>
          <w:lang w:eastAsia="cs-CZ"/>
        </w:rPr>
        <w:t>ouvy.</w:t>
      </w:r>
    </w:p>
    <w:p w14:paraId="4A214B1F" w14:textId="53E9D039" w:rsidR="00D85C5B" w:rsidRPr="00E450F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50F9">
        <w:rPr>
          <w:rFonts w:eastAsia="Times New Roman" w:cs="Times New Roman"/>
          <w:lang w:eastAsia="cs-CZ"/>
        </w:rPr>
        <w:t>Předmět koupě musí splňovat podmínky stanovené právními předpisy, normami ČSN, technickými normami.</w:t>
      </w:r>
    </w:p>
    <w:p w14:paraId="46F1124F" w14:textId="5A388A20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50F9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4617D254" w14:textId="77777777" w:rsidR="00E8495E" w:rsidRPr="00E450F9" w:rsidRDefault="00E8495E" w:rsidP="00E8495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lastRenderedPageBreak/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25D01C52" w:rsidR="00C24C30" w:rsidRPr="00625675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625675">
        <w:rPr>
          <w:rFonts w:eastAsia="Times New Roman" w:cs="Times New Roman"/>
          <w:lang w:eastAsia="cs-CZ"/>
        </w:rPr>
        <w:t xml:space="preserve">Přílohou č. </w:t>
      </w:r>
      <w:r w:rsidR="00625675" w:rsidRPr="00625675">
        <w:rPr>
          <w:rFonts w:eastAsia="Times New Roman" w:cs="Times New Roman"/>
          <w:lang w:eastAsia="cs-CZ"/>
        </w:rPr>
        <w:t>1</w:t>
      </w:r>
      <w:r w:rsidRPr="00625675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381A2931" w:rsidR="002B20CA" w:rsidRPr="00625675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5675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625675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721996F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 xml:space="preserve">Místo dodání je </w:t>
      </w:r>
      <w:r w:rsidR="006951CD" w:rsidRPr="006951CD">
        <w:rPr>
          <w:rFonts w:eastAsia="Times New Roman" w:cs="Times New Roman"/>
          <w:lang w:eastAsia="cs-CZ"/>
        </w:rPr>
        <w:t>OŘ Brno</w:t>
      </w:r>
      <w:r w:rsidRPr="006951CD">
        <w:rPr>
          <w:rFonts w:eastAsia="Times New Roman" w:cs="Times New Roman"/>
          <w:lang w:eastAsia="cs-CZ"/>
        </w:rPr>
        <w:t>.</w:t>
      </w:r>
    </w:p>
    <w:p w14:paraId="348B1634" w14:textId="77777777" w:rsidR="006951CD" w:rsidRPr="006951CD" w:rsidRDefault="006951CD" w:rsidP="006951CD">
      <w:pPr>
        <w:pStyle w:val="Odstavecseseznamem"/>
        <w:keepNext/>
        <w:keepLines/>
        <w:overflowPunct w:val="0"/>
        <w:autoSpaceDE w:val="0"/>
        <w:autoSpaceDN w:val="0"/>
        <w:adjustRightInd w:val="0"/>
        <w:spacing w:after="0" w:line="276" w:lineRule="auto"/>
        <w:ind w:left="360" w:firstLine="348"/>
        <w:textAlignment w:val="baseline"/>
        <w:rPr>
          <w:rFonts w:eastAsia="Times New Roman" w:cs="Times New Roman"/>
          <w:i/>
          <w:lang w:eastAsia="cs-CZ"/>
        </w:rPr>
      </w:pPr>
      <w:r w:rsidRPr="006951CD">
        <w:rPr>
          <w:rFonts w:eastAsia="Times New Roman" w:cs="Times New Roman"/>
          <w:i/>
          <w:lang w:eastAsia="cs-CZ"/>
        </w:rPr>
        <w:t>Centrální sklad OŘ Brno, Trnitá 37, Brno 602 00</w:t>
      </w:r>
    </w:p>
    <w:p w14:paraId="7F07EB6F" w14:textId="56DFA859" w:rsidR="006951CD" w:rsidRPr="006951CD" w:rsidRDefault="006951CD" w:rsidP="006951CD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 w:firstLine="348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i/>
          <w:lang w:eastAsia="cs-CZ"/>
        </w:rPr>
        <w:t>MES Havlíčkův Brod, Havířská 768, Havlíčkův Brod 580 01</w:t>
      </w:r>
    </w:p>
    <w:p w14:paraId="5115D35D" w14:textId="66A4DB17" w:rsidR="00D85C5B" w:rsidRPr="006951CD" w:rsidRDefault="00CF2EAC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 xml:space="preserve">Předmět koupě bude dodán </w:t>
      </w:r>
      <w:proofErr w:type="gramStart"/>
      <w:r w:rsidRPr="006951CD">
        <w:rPr>
          <w:rFonts w:eastAsia="Times New Roman" w:cs="Times New Roman"/>
          <w:lang w:eastAsia="cs-CZ"/>
        </w:rPr>
        <w:t>do</w:t>
      </w:r>
      <w:proofErr w:type="gramEnd"/>
      <w:r w:rsidRPr="006951CD">
        <w:rPr>
          <w:rFonts w:eastAsia="Times New Roman" w:cs="Times New Roman"/>
          <w:lang w:eastAsia="cs-CZ"/>
        </w:rPr>
        <w:t>:</w:t>
      </w:r>
      <w:r w:rsidR="00625675">
        <w:rPr>
          <w:rFonts w:eastAsia="Times New Roman" w:cs="Times New Roman"/>
          <w:lang w:eastAsia="cs-CZ"/>
        </w:rPr>
        <w:t xml:space="preserve"> </w:t>
      </w:r>
      <w:r w:rsidR="00625675" w:rsidRPr="00625675">
        <w:rPr>
          <w:rFonts w:eastAsia="Times New Roman" w:cs="Times New Roman"/>
          <w:b/>
          <w:lang w:eastAsia="cs-CZ"/>
        </w:rPr>
        <w:t>31.</w:t>
      </w:r>
      <w:r w:rsidR="0065280F">
        <w:rPr>
          <w:rFonts w:eastAsia="Times New Roman" w:cs="Times New Roman"/>
          <w:b/>
          <w:lang w:eastAsia="cs-CZ"/>
        </w:rPr>
        <w:t xml:space="preserve"> </w:t>
      </w:r>
      <w:r w:rsidR="00625675" w:rsidRPr="00625675">
        <w:rPr>
          <w:rFonts w:eastAsia="Times New Roman" w:cs="Times New Roman"/>
          <w:b/>
          <w:lang w:eastAsia="cs-CZ"/>
        </w:rPr>
        <w:t>3.</w:t>
      </w:r>
      <w:r w:rsidR="0065280F">
        <w:rPr>
          <w:rFonts w:eastAsia="Times New Roman" w:cs="Times New Roman"/>
          <w:b/>
          <w:lang w:eastAsia="cs-CZ"/>
        </w:rPr>
        <w:t xml:space="preserve"> </w:t>
      </w:r>
      <w:r w:rsidR="00625675" w:rsidRPr="00625675">
        <w:rPr>
          <w:rFonts w:eastAsia="Times New Roman" w:cs="Times New Roman"/>
          <w:b/>
          <w:lang w:eastAsia="cs-CZ"/>
        </w:rPr>
        <w:t>2023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951CD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951CD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Speciální balení se nevyžaduje.</w:t>
      </w:r>
    </w:p>
    <w:p w14:paraId="28FDFECD" w14:textId="1EBEBEDB" w:rsidR="00D85C5B" w:rsidRPr="000D4601" w:rsidRDefault="00D85C5B" w:rsidP="00E450F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E450F9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50F9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1E78B35D" w14:textId="4C9E2147" w:rsidR="00E450F9" w:rsidRPr="00E450F9" w:rsidRDefault="00E450F9" w:rsidP="00E450F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</w:t>
      </w:r>
      <w:r w:rsidRPr="00E450F9">
        <w:rPr>
          <w:rFonts w:eastAsia="Times New Roman" w:cs="Times New Roman"/>
          <w:lang w:eastAsia="cs-CZ"/>
        </w:rPr>
        <w:t xml:space="preserve">odací list </w:t>
      </w:r>
    </w:p>
    <w:p w14:paraId="1785CC22" w14:textId="0F3987C7" w:rsidR="00E450F9" w:rsidRPr="00E450F9" w:rsidRDefault="00E450F9" w:rsidP="00E450F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b</w:t>
      </w:r>
      <w:r w:rsidRPr="00E450F9">
        <w:rPr>
          <w:rFonts w:eastAsia="Times New Roman" w:cs="Times New Roman"/>
          <w:lang w:eastAsia="cs-CZ"/>
        </w:rPr>
        <w:t>ezpečnostní listy</w:t>
      </w:r>
    </w:p>
    <w:p w14:paraId="4B70C07C" w14:textId="10034F4E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061F47" w14:textId="5F35CA5A" w:rsidR="00E450F9" w:rsidRPr="00E450F9" w:rsidRDefault="00E450F9" w:rsidP="00E450F9">
      <w:pPr>
        <w:ind w:firstLine="360"/>
        <w:rPr>
          <w:lang w:eastAsia="cs-CZ"/>
        </w:rPr>
      </w:pPr>
      <w:r>
        <w:rPr>
          <w:lang w:eastAsia="cs-CZ"/>
        </w:rPr>
        <w:t>Nepožaduje se.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poddodavatelé uvedení v příloze č…. </w:t>
      </w:r>
      <w:proofErr w:type="gramStart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Smlouvy. </w:t>
      </w:r>
    </w:p>
    <w:p w14:paraId="5CD37451" w14:textId="2EEE84F4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(jestliže se na provedení nebudou podílet poddodavatelé, dodavatel do bodu </w:t>
      </w:r>
      <w:r w:rsidR="009146AF">
        <w:rPr>
          <w:rFonts w:eastAsia="Times New Roman" w:cs="Times New Roman"/>
          <w:b w:val="0"/>
          <w:highlight w:val="yellow"/>
          <w:u w:val="none"/>
          <w:lang w:eastAsia="cs-CZ"/>
        </w:rPr>
        <w:t>7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.1 napíše: „Na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nebudou podílet poddodavatelé a vymaže tuto položku ze seznamu příloh).</w:t>
      </w:r>
    </w:p>
    <w:p w14:paraId="37222C0E" w14:textId="01BA1081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pouze po předchozím souhlasu Kupujícího 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základě písemné žádosti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V případě, že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Smlouvy, musí tato osoba, splňovat kvalifikaci požadovanou </w:t>
      </w:r>
      <w:r w:rsidR="003D06BE">
        <w:rPr>
          <w:rFonts w:eastAsia="Times New Roman" w:cs="Times New Roman"/>
          <w:b w:val="0"/>
          <w:highlight w:val="yellow"/>
          <w:u w:val="none"/>
          <w:lang w:eastAsia="cs-CZ"/>
        </w:rPr>
        <w:t>ve Veřejné zakázce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Kupujícího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6951CD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6951CD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951CD">
        <w:rPr>
          <w:rFonts w:eastAsia="Times New Roman" w:cs="Times New Roman"/>
          <w:b w:val="0"/>
          <w:u w:val="none"/>
          <w:lang w:eastAsia="cs-CZ"/>
        </w:rPr>
        <w:t>Sml</w:t>
      </w:r>
      <w:r w:rsidRPr="006951CD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5DC13464" w:rsidR="00D85C5B" w:rsidRPr="004E19DE" w:rsidRDefault="00D85C5B" w:rsidP="006951CD">
      <w:pPr>
        <w:spacing w:after="0" w:line="240" w:lineRule="auto"/>
        <w:ind w:left="1417" w:right="-370" w:hanging="709"/>
        <w:contextualSpacing/>
        <w:rPr>
          <w:rFonts w:eastAsia="Times New Roman" w:cs="Times New Roman"/>
          <w:highlight w:val="yellow"/>
          <w:lang w:eastAsia="cs-CZ"/>
        </w:rPr>
      </w:pPr>
      <w:r w:rsidRPr="006951CD">
        <w:rPr>
          <w:rFonts w:eastAsia="Times New Roman" w:cs="Times New Roman"/>
          <w:lang w:eastAsia="cs-CZ"/>
        </w:rPr>
        <w:t xml:space="preserve">za Kupujícího p. </w:t>
      </w:r>
      <w:r w:rsidR="006951CD" w:rsidRPr="006951CD">
        <w:rPr>
          <w:rFonts w:eastAsia="Times New Roman" w:cs="Times New Roman"/>
          <w:lang w:eastAsia="cs-CZ"/>
        </w:rPr>
        <w:t>Robert Vychodil</w:t>
      </w:r>
      <w:r w:rsidR="006951CD">
        <w:rPr>
          <w:rFonts w:eastAsia="Times New Roman" w:cs="Times New Roman"/>
          <w:lang w:eastAsia="cs-CZ"/>
        </w:rPr>
        <w:t>,</w:t>
      </w:r>
      <w:r w:rsidR="006951CD" w:rsidRPr="00AD3998">
        <w:rPr>
          <w:rFonts w:cs="Tahoma"/>
          <w:color w:val="000000"/>
          <w:shd w:val="clear" w:color="auto" w:fill="FFFFFF"/>
        </w:rPr>
        <w:t xml:space="preserve"> tel.: +420</w:t>
      </w:r>
      <w:r w:rsidR="006951CD">
        <w:rPr>
          <w:rFonts w:cs="Tahoma"/>
          <w:color w:val="000000"/>
          <w:shd w:val="clear" w:color="auto" w:fill="FFFFFF"/>
        </w:rPr>
        <w:t> 724 746 297</w:t>
      </w:r>
      <w:r w:rsidR="006951CD" w:rsidRPr="00AD3998">
        <w:rPr>
          <w:rFonts w:cs="Tahoma"/>
          <w:color w:val="000000"/>
          <w:shd w:val="clear" w:color="auto" w:fill="FFFFFF"/>
        </w:rPr>
        <w:t xml:space="preserve">, e-mail: </w:t>
      </w:r>
      <w:r w:rsidR="006951CD">
        <w:rPr>
          <w:rFonts w:cs="Tahoma"/>
          <w:color w:val="000000"/>
          <w:shd w:val="clear" w:color="auto" w:fill="FFFFFF"/>
        </w:rPr>
        <w:t>vychodil</w:t>
      </w:r>
      <w:r w:rsidR="006951CD" w:rsidRPr="00AD3998">
        <w:rPr>
          <w:rFonts w:cs="Tahoma"/>
          <w:color w:val="000000"/>
          <w:shd w:val="clear" w:color="auto" w:fill="FFFFFF"/>
        </w:rPr>
        <w:t>@spravazeleznic.</w:t>
      </w:r>
      <w:r w:rsidR="006951CD" w:rsidRPr="006951CD">
        <w:rPr>
          <w:rFonts w:cs="Tahoma"/>
          <w:color w:val="000000"/>
          <w:shd w:val="clear" w:color="auto" w:fill="FFFFFF"/>
        </w:rPr>
        <w:t>cz</w:t>
      </w:r>
      <w:r w:rsidRPr="006951CD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6951CD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</w:t>
      </w:r>
      <w:r w:rsidR="003A7A56" w:rsidRPr="006951CD">
        <w:rPr>
          <w:b w:val="0"/>
          <w:u w:val="none"/>
          <w:lang w:eastAsia="cs-CZ"/>
        </w:rPr>
        <w:t>prospěch</w:t>
      </w:r>
      <w:r w:rsidR="0067279B" w:rsidRPr="006951CD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6951CD">
        <w:rPr>
          <w:b w:val="0"/>
          <w:u w:val="none"/>
          <w:lang w:eastAsia="cs-CZ"/>
        </w:rPr>
        <w:t>Ukáží-li se prohlášení Prodávajícího dle odstavce 9.1 a 9.2 této Smlouvy jako nepravdivá nebo p</w:t>
      </w:r>
      <w:r w:rsidR="001A3602" w:rsidRPr="006951CD">
        <w:rPr>
          <w:b w:val="0"/>
          <w:u w:val="none"/>
          <w:lang w:eastAsia="cs-CZ"/>
        </w:rPr>
        <w:t>oruší-li Prodávající svou oznamovací povinnost</w:t>
      </w:r>
      <w:r w:rsidRPr="006951CD">
        <w:rPr>
          <w:b w:val="0"/>
          <w:u w:val="none"/>
          <w:lang w:eastAsia="cs-CZ"/>
        </w:rPr>
        <w:t xml:space="preserve"> dle</w:t>
      </w:r>
      <w:r w:rsidR="001A3602" w:rsidRPr="006951CD">
        <w:rPr>
          <w:b w:val="0"/>
          <w:u w:val="none"/>
          <w:lang w:eastAsia="cs-CZ"/>
        </w:rPr>
        <w:t xml:space="preserve"> </w:t>
      </w:r>
      <w:r w:rsidR="0074484D" w:rsidRPr="006951CD">
        <w:rPr>
          <w:b w:val="0"/>
          <w:u w:val="none"/>
          <w:lang w:eastAsia="cs-CZ"/>
        </w:rPr>
        <w:t xml:space="preserve">odstavce </w:t>
      </w:r>
      <w:proofErr w:type="gramStart"/>
      <w:r w:rsidR="0074484D" w:rsidRPr="006951CD">
        <w:rPr>
          <w:b w:val="0"/>
          <w:u w:val="none"/>
          <w:lang w:eastAsia="cs-CZ"/>
        </w:rPr>
        <w:t>9.4. nebo</w:t>
      </w:r>
      <w:proofErr w:type="gramEnd"/>
      <w:r w:rsidR="0074484D" w:rsidRPr="006951CD">
        <w:rPr>
          <w:b w:val="0"/>
          <w:u w:val="none"/>
          <w:lang w:eastAsia="cs-CZ"/>
        </w:rPr>
        <w:t xml:space="preserve"> povinnost</w:t>
      </w:r>
      <w:r w:rsidR="003A7A56" w:rsidRPr="006951CD">
        <w:rPr>
          <w:b w:val="0"/>
          <w:u w:val="none"/>
          <w:lang w:eastAsia="cs-CZ"/>
        </w:rPr>
        <w:t>i</w:t>
      </w:r>
      <w:r w:rsidR="0074484D" w:rsidRPr="006951CD">
        <w:rPr>
          <w:b w:val="0"/>
          <w:u w:val="none"/>
          <w:lang w:eastAsia="cs-CZ"/>
        </w:rPr>
        <w:t xml:space="preserve"> dle </w:t>
      </w:r>
      <w:r w:rsidR="003A7A56" w:rsidRPr="006951CD">
        <w:rPr>
          <w:b w:val="0"/>
          <w:u w:val="none"/>
          <w:lang w:eastAsia="cs-CZ"/>
        </w:rPr>
        <w:t>odstavců</w:t>
      </w:r>
      <w:r w:rsidR="0074484D" w:rsidRPr="006951CD">
        <w:rPr>
          <w:b w:val="0"/>
          <w:u w:val="none"/>
          <w:lang w:eastAsia="cs-CZ"/>
        </w:rPr>
        <w:t xml:space="preserve"> 9.5</w:t>
      </w:r>
      <w:r w:rsidR="003A7A56" w:rsidRPr="006951CD">
        <w:rPr>
          <w:b w:val="0"/>
          <w:u w:val="none"/>
          <w:lang w:eastAsia="cs-CZ"/>
        </w:rPr>
        <w:t xml:space="preserve"> nebo 9.6</w:t>
      </w:r>
      <w:r w:rsidR="0074484D" w:rsidRPr="006951CD">
        <w:rPr>
          <w:b w:val="0"/>
          <w:u w:val="none"/>
          <w:lang w:eastAsia="cs-CZ"/>
        </w:rPr>
        <w:t xml:space="preserve"> </w:t>
      </w:r>
      <w:r w:rsidRPr="006951CD">
        <w:rPr>
          <w:b w:val="0"/>
          <w:u w:val="none"/>
          <w:lang w:eastAsia="cs-CZ"/>
        </w:rPr>
        <w:t>této Smlouvy</w:t>
      </w:r>
      <w:r w:rsidR="001A3602" w:rsidRPr="006951CD">
        <w:rPr>
          <w:b w:val="0"/>
          <w:u w:val="none"/>
          <w:lang w:eastAsia="cs-CZ"/>
        </w:rPr>
        <w:t xml:space="preserve">, je Kupující oprávněn odstoupit od této </w:t>
      </w:r>
      <w:r w:rsidRPr="006951CD">
        <w:rPr>
          <w:b w:val="0"/>
          <w:u w:val="none"/>
          <w:lang w:eastAsia="cs-CZ"/>
        </w:rPr>
        <w:t>S</w:t>
      </w:r>
      <w:r w:rsidR="001A3602" w:rsidRPr="006951CD">
        <w:rPr>
          <w:b w:val="0"/>
          <w:u w:val="none"/>
          <w:lang w:eastAsia="cs-CZ"/>
        </w:rPr>
        <w:t>mlouvy. Prodávající je dále povinen zaplatit</w:t>
      </w:r>
      <w:r w:rsidR="009D5BC0" w:rsidRPr="006951CD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6951CD">
        <w:rPr>
          <w:b w:val="0"/>
          <w:u w:val="none"/>
          <w:lang w:eastAsia="cs-CZ"/>
        </w:rPr>
        <w:t xml:space="preserve"> smluvní pokutu ve výši </w:t>
      </w:r>
      <w:r w:rsidR="00AA52E0" w:rsidRPr="006951CD">
        <w:rPr>
          <w:b w:val="0"/>
          <w:u w:val="none"/>
          <w:lang w:eastAsia="cs-CZ"/>
        </w:rPr>
        <w:t>5</w:t>
      </w:r>
      <w:r w:rsidR="001A3602" w:rsidRPr="006951CD">
        <w:rPr>
          <w:b w:val="0"/>
          <w:u w:val="none"/>
          <w:lang w:eastAsia="cs-CZ"/>
        </w:rPr>
        <w:t xml:space="preserve"> % procent z</w:t>
      </w:r>
      <w:r w:rsidRPr="006951CD">
        <w:rPr>
          <w:b w:val="0"/>
          <w:u w:val="none"/>
          <w:lang w:eastAsia="cs-CZ"/>
        </w:rPr>
        <w:t> </w:t>
      </w:r>
      <w:r w:rsidR="001A3602" w:rsidRPr="006951CD">
        <w:rPr>
          <w:b w:val="0"/>
          <w:u w:val="none"/>
          <w:lang w:eastAsia="cs-CZ"/>
        </w:rPr>
        <w:t>kupní ceny</w:t>
      </w:r>
      <w:r w:rsidR="00AA52E0" w:rsidRPr="006951CD">
        <w:rPr>
          <w:b w:val="0"/>
          <w:u w:val="none"/>
          <w:lang w:eastAsia="cs-CZ"/>
        </w:rPr>
        <w:t xml:space="preserve"> (cena bez DPH)</w:t>
      </w:r>
      <w:r w:rsidRPr="006951CD">
        <w:rPr>
          <w:b w:val="0"/>
          <w:u w:val="none"/>
          <w:lang w:eastAsia="cs-CZ"/>
        </w:rPr>
        <w:t xml:space="preserve"> sjednané dle</w:t>
      </w:r>
      <w:r w:rsidR="001A3602" w:rsidRPr="006951CD">
        <w:rPr>
          <w:b w:val="0"/>
          <w:u w:val="none"/>
          <w:lang w:eastAsia="cs-CZ"/>
        </w:rPr>
        <w:t xml:space="preserve"> této </w:t>
      </w:r>
      <w:r w:rsidRPr="006951CD">
        <w:rPr>
          <w:b w:val="0"/>
          <w:u w:val="none"/>
          <w:lang w:eastAsia="cs-CZ"/>
        </w:rPr>
        <w:t>S</w:t>
      </w:r>
      <w:r w:rsidR="001A3602" w:rsidRPr="006951CD">
        <w:rPr>
          <w:b w:val="0"/>
          <w:u w:val="none"/>
          <w:lang w:eastAsia="cs-CZ"/>
        </w:rPr>
        <w:t xml:space="preserve">mlouvy. </w:t>
      </w:r>
      <w:r w:rsidR="00A87725" w:rsidRPr="006951CD">
        <w:rPr>
          <w:b w:val="0"/>
          <w:u w:val="none"/>
          <w:lang w:eastAsia="cs-CZ"/>
        </w:rPr>
        <w:t>Ustanovení § 2004</w:t>
      </w:r>
      <w:r w:rsidR="00A87725" w:rsidRPr="00483C85">
        <w:rPr>
          <w:b w:val="0"/>
          <w:u w:val="none"/>
          <w:lang w:eastAsia="cs-CZ"/>
        </w:rPr>
        <w:t xml:space="preserve">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2CECD7FD" w14:textId="3761604F" w:rsidR="0065280F" w:rsidRDefault="0065280F" w:rsidP="0065280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 a účinnosti dnem jejího uveřejnění v registru smluv.</w:t>
      </w:r>
    </w:p>
    <w:p w14:paraId="3F34BECA" w14:textId="77777777" w:rsidR="0065280F" w:rsidRPr="00D11E81" w:rsidRDefault="0065280F" w:rsidP="0065280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Prodávající bere na vědomí, že dle zákona č. 320/2001 Sb., o finanční kontrole, ve znění  pozdějších předpisů, je jako osoba podílející se na dodávkách zboží či služeb hrazených z veřejných výdajů nebo z veřejné finanční podpory povinen spolupůsobit při výkonu finanční kontroly ve smyslu uvedeného zákona.</w:t>
      </w:r>
    </w:p>
    <w:p w14:paraId="65881423" w14:textId="77777777" w:rsidR="0065280F" w:rsidRPr="00D11E81" w:rsidRDefault="0065280F" w:rsidP="0065280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Ke dni uzavření této Smlouvy bylo provedeno ověření v insolvenčním rejstříku, že vůči vybranému dodavateli nebylo vydáno rozhodnutí o úpadku a také bylo provedeno ověření v obchodním rejstříku, že vybraný dodavatel není v likvidaci.</w:t>
      </w:r>
    </w:p>
    <w:p w14:paraId="2DB88347" w14:textId="7F57120B" w:rsidR="0065280F" w:rsidRDefault="0065280F" w:rsidP="0065280F">
      <w:pPr>
        <w:rPr>
          <w:lang w:eastAsia="cs-CZ"/>
        </w:rPr>
      </w:pPr>
    </w:p>
    <w:p w14:paraId="4A5C390A" w14:textId="3F849B0E" w:rsidR="0065280F" w:rsidRDefault="0065280F" w:rsidP="0065280F">
      <w:pPr>
        <w:rPr>
          <w:lang w:eastAsia="cs-CZ"/>
        </w:rPr>
      </w:pPr>
    </w:p>
    <w:p w14:paraId="5D3D4F1C" w14:textId="77777777" w:rsidR="0065280F" w:rsidRPr="0065280F" w:rsidRDefault="0065280F" w:rsidP="0065280F">
      <w:pPr>
        <w:rPr>
          <w:lang w:eastAsia="cs-CZ"/>
        </w:rPr>
      </w:pP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7DD5E752" w:rsidR="00D85C5B" w:rsidRPr="006951C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příloha č. 1:</w:t>
      </w:r>
      <w:r w:rsidRPr="006951CD">
        <w:rPr>
          <w:rFonts w:eastAsia="Times New Roman" w:cs="Times New Roman"/>
          <w:lang w:eastAsia="cs-CZ"/>
        </w:rPr>
        <w:tab/>
        <w:t>specifikace předmětu koupě</w:t>
      </w:r>
      <w:r w:rsidR="006951CD" w:rsidRPr="006951CD">
        <w:rPr>
          <w:rFonts w:eastAsia="Times New Roman" w:cs="Times New Roman"/>
          <w:lang w:eastAsia="cs-CZ"/>
        </w:rPr>
        <w:t>, oceněný položkový rozpočet</w:t>
      </w:r>
    </w:p>
    <w:p w14:paraId="46621F99" w14:textId="261D5069" w:rsidR="00CC1601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příloha č. 2:</w:t>
      </w:r>
      <w:r w:rsidRPr="006951CD">
        <w:rPr>
          <w:rFonts w:eastAsia="Times New Roman" w:cs="Times New Roman"/>
          <w:lang w:eastAsia="cs-CZ"/>
        </w:rPr>
        <w:tab/>
      </w:r>
      <w:r w:rsidR="006951CD" w:rsidRPr="006951CD">
        <w:rPr>
          <w:rFonts w:eastAsia="Times New Roman" w:cs="Times New Roman"/>
          <w:lang w:eastAsia="cs-CZ"/>
        </w:rPr>
        <w:t>obchodní podmínky</w:t>
      </w:r>
    </w:p>
    <w:p w14:paraId="4DA28FED" w14:textId="750078FB" w:rsidR="00193271" w:rsidRDefault="0019327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3:     s</w:t>
      </w:r>
      <w:r w:rsidRPr="00F229C8">
        <w:rPr>
          <w:rFonts w:eastAsia="Times New Roman" w:cs="Times New Roman"/>
          <w:lang w:eastAsia="cs-CZ"/>
        </w:rPr>
        <w:t>eznam poddodavatelů (je-li relevantní, jinak vypustit)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30F417DA" w14:textId="57F5B7B1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94D4A1" w14:textId="278C6914" w:rsidR="00200097" w:rsidRDefault="00200097" w:rsidP="00CB3AD5">
      <w:pPr>
        <w:spacing w:after="0" w:line="276" w:lineRule="auto"/>
        <w:rPr>
          <w:rFonts w:asciiTheme="majorHAnsi" w:hAnsiTheme="majorHAnsi"/>
        </w:rPr>
      </w:pPr>
    </w:p>
    <w:p w14:paraId="50A7EEBE" w14:textId="77777777" w:rsidR="00200097" w:rsidRPr="00221465" w:rsidRDefault="00200097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61F83552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D7EABF4" w14:textId="77777777" w:rsidR="0065280F" w:rsidRDefault="0065280F" w:rsidP="0065280F">
      <w:pPr>
        <w:spacing w:after="0" w:line="276" w:lineRule="auto"/>
        <w:rPr>
          <w:noProof/>
        </w:rPr>
      </w:pPr>
      <w:r w:rsidRPr="00DC4135">
        <w:rPr>
          <w:b/>
          <w:noProof/>
        </w:rPr>
        <w:t xml:space="preserve">Ing. </w:t>
      </w:r>
      <w:r>
        <w:rPr>
          <w:b/>
          <w:noProof/>
        </w:rPr>
        <w:t>Libor Tkáč, MBA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F9784AF" w14:textId="77777777" w:rsidR="0065280F" w:rsidRDefault="0065280F" w:rsidP="0065280F">
      <w:pPr>
        <w:spacing w:after="0" w:line="276" w:lineRule="auto"/>
        <w:rPr>
          <w:noProof/>
        </w:rPr>
      </w:pPr>
      <w:r>
        <w:rPr>
          <w:noProof/>
        </w:rPr>
        <w:t>ředitel Oblastního ředitelství Brno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4623738" w14:textId="52CA0DA2" w:rsidR="00CB3AD5" w:rsidRPr="00221465" w:rsidRDefault="0065280F" w:rsidP="0065280F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Správa železnic, státní organizace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0E7928E9" w14:textId="77777777" w:rsidR="00E14AD2" w:rsidRDefault="00E14AD2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E14AD2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B29C95D" w14:textId="77777777" w:rsidR="00E14AD2" w:rsidRPr="00200097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00097">
        <w:rPr>
          <w:rFonts w:eastAsia="Times New Roman" w:cs="Times New Roman"/>
          <w:b/>
          <w:sz w:val="22"/>
          <w:szCs w:val="22"/>
          <w:lang w:eastAsia="cs-CZ"/>
        </w:rPr>
        <w:t>příloha č. 1:</w:t>
      </w:r>
      <w:r w:rsidRPr="00200097">
        <w:rPr>
          <w:rFonts w:eastAsia="Times New Roman" w:cs="Times New Roman"/>
          <w:b/>
          <w:lang w:eastAsia="cs-CZ"/>
        </w:rPr>
        <w:tab/>
      </w:r>
    </w:p>
    <w:p w14:paraId="1B7C04AC" w14:textId="77777777" w:rsidR="00E14AD2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7CFE41" w14:textId="46D95AC5" w:rsidR="00E14AD2" w:rsidRPr="006951CD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specifikace předmětu koupě, oceněný položkový rozpočet</w:t>
      </w:r>
    </w:p>
    <w:p w14:paraId="7C32F520" w14:textId="77777777" w:rsidR="00E14AD2" w:rsidRPr="00D6163D" w:rsidRDefault="00E14AD2" w:rsidP="00E14AD2">
      <w:pPr>
        <w:pStyle w:val="Zhlav"/>
        <w:rPr>
          <w:sz w:val="8"/>
          <w:szCs w:val="8"/>
        </w:rPr>
      </w:pPr>
    </w:p>
    <w:p w14:paraId="7AC52D32" w14:textId="77777777" w:rsidR="00E14AD2" w:rsidRDefault="00E14AD2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E14AD2" w:rsidSect="00FC6389">
          <w:head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C869435" w14:textId="77777777" w:rsidR="00E14AD2" w:rsidRPr="00200097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 w:rsidRPr="00200097">
        <w:rPr>
          <w:rFonts w:eastAsia="Times New Roman" w:cs="Times New Roman"/>
          <w:b/>
          <w:sz w:val="22"/>
          <w:szCs w:val="22"/>
          <w:lang w:eastAsia="cs-CZ"/>
        </w:rPr>
        <w:t>příloha č. 2: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ab/>
      </w:r>
    </w:p>
    <w:p w14:paraId="5D9AB488" w14:textId="77777777" w:rsidR="00E14AD2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45AF093" w14:textId="15C2AE81" w:rsidR="00E14AD2" w:rsidRPr="006951CD" w:rsidRDefault="00E14AD2" w:rsidP="00E14AD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</w:t>
      </w:r>
      <w:r w:rsidRPr="006951CD">
        <w:rPr>
          <w:rFonts w:eastAsia="Times New Roman" w:cs="Times New Roman"/>
          <w:lang w:eastAsia="cs-CZ"/>
        </w:rPr>
        <w:t>bchodní podmínky</w:t>
      </w:r>
    </w:p>
    <w:p w14:paraId="3B49FBCB" w14:textId="77777777" w:rsidR="00193271" w:rsidRDefault="00193271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193271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AB896EB" w14:textId="1D0A0B70" w:rsidR="00193271" w:rsidRPr="00200097" w:rsidRDefault="00193271" w:rsidP="0019327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příloha č. 3:     </w:t>
      </w:r>
    </w:p>
    <w:p w14:paraId="37317228" w14:textId="77777777" w:rsidR="00193271" w:rsidRDefault="00193271" w:rsidP="0019327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78D3BE6" w14:textId="6985E980" w:rsidR="00193271" w:rsidRDefault="00193271" w:rsidP="0019327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Pr="00F229C8">
        <w:rPr>
          <w:rFonts w:eastAsia="Times New Roman" w:cs="Times New Roman"/>
          <w:lang w:eastAsia="cs-CZ"/>
        </w:rPr>
        <w:t>eznam poddodavatelů (je-li relevantní, jinak vypustit)</w:t>
      </w:r>
    </w:p>
    <w:p w14:paraId="1942CC3A" w14:textId="77A36D02" w:rsid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5399DB37" w14:textId="77777777" w:rsidR="00193271" w:rsidRPr="00A349F7" w:rsidRDefault="00193271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193271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053FC02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495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495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39BC28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49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495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25759577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35884578" w14:textId="77777777" w:rsidR="00CF2EAC" w:rsidRPr="00B45E9E" w:rsidRDefault="00CF2EAC" w:rsidP="00CF2EAC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7DDCA8F" w14:textId="77777777" w:rsidR="00CF2EAC" w:rsidRPr="00B45E9E" w:rsidRDefault="00CF2EAC" w:rsidP="00CF2EAC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8C54210" w14:textId="22B0B21B" w:rsidR="001813BF" w:rsidRDefault="00CF2EAC" w:rsidP="00CF2EAC">
          <w:pPr>
            <w:pStyle w:val="Zpat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69EE53F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4AD2" w14:paraId="446FB8C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3028B6" w14:textId="77777777" w:rsidR="00E14AD2" w:rsidRPr="00B8518B" w:rsidRDefault="00E14A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6BB6F" w14:textId="77777777" w:rsidR="00E14AD2" w:rsidRDefault="00E14AD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A19221" w14:textId="77777777" w:rsidR="00E14AD2" w:rsidRPr="00D6163D" w:rsidRDefault="00E14AD2" w:rsidP="00FC6389">
          <w:pPr>
            <w:pStyle w:val="Druhdokumentu"/>
          </w:pPr>
        </w:p>
      </w:tc>
    </w:tr>
    <w:tr w:rsidR="00E14AD2" w14:paraId="7763C19A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D0FA9DF" w14:textId="77777777" w:rsidR="00E14AD2" w:rsidRPr="00B8518B" w:rsidRDefault="00E14A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F476C0" w14:textId="77777777" w:rsidR="00E14AD2" w:rsidRDefault="00E14AD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7C7A11" w14:textId="77777777" w:rsidR="00E14AD2" w:rsidRPr="00D6163D" w:rsidRDefault="00E14AD2" w:rsidP="00FC6389">
          <w:pPr>
            <w:pStyle w:val="Druhdokumentu"/>
          </w:pPr>
        </w:p>
      </w:tc>
    </w:tr>
  </w:tbl>
  <w:p w14:paraId="49073292" w14:textId="2D5FB3D9" w:rsidR="00E14AD2" w:rsidRPr="00D6163D" w:rsidRDefault="00E14AD2" w:rsidP="00FC6389">
    <w:pPr>
      <w:pStyle w:val="Zhlav"/>
      <w:rPr>
        <w:sz w:val="8"/>
        <w:szCs w:val="8"/>
      </w:rPr>
    </w:pPr>
  </w:p>
  <w:p w14:paraId="342BEE2C" w14:textId="77777777" w:rsidR="00E14AD2" w:rsidRPr="00460660" w:rsidRDefault="00E14AD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471B7F"/>
    <w:multiLevelType w:val="hybridMultilevel"/>
    <w:tmpl w:val="9CC82526"/>
    <w:lvl w:ilvl="0" w:tplc="8B3027B4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3271"/>
    <w:rsid w:val="001A3602"/>
    <w:rsid w:val="001B540F"/>
    <w:rsid w:val="001C22E7"/>
    <w:rsid w:val="001C4874"/>
    <w:rsid w:val="001E62F8"/>
    <w:rsid w:val="00200097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25675"/>
    <w:rsid w:val="0065280F"/>
    <w:rsid w:val="00660AD3"/>
    <w:rsid w:val="00660FBE"/>
    <w:rsid w:val="0067279B"/>
    <w:rsid w:val="00673324"/>
    <w:rsid w:val="00677B7F"/>
    <w:rsid w:val="00677BC8"/>
    <w:rsid w:val="006951CD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2EAC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AD2"/>
    <w:rsid w:val="00E17FE7"/>
    <w:rsid w:val="00E450F9"/>
    <w:rsid w:val="00E7068E"/>
    <w:rsid w:val="00E8495E"/>
    <w:rsid w:val="00E967DA"/>
    <w:rsid w:val="00EA1DA7"/>
    <w:rsid w:val="00EB104F"/>
    <w:rsid w:val="00ED14BD"/>
    <w:rsid w:val="00EF6D28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F2EAC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F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9F3F44-4259-4954-9D86-0915A6E5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2016</Words>
  <Characters>11897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8</cp:revision>
  <cp:lastPrinted>2017-11-28T17:18:00Z</cp:lastPrinted>
  <dcterms:created xsi:type="dcterms:W3CDTF">2023-02-06T08:14:00Z</dcterms:created>
  <dcterms:modified xsi:type="dcterms:W3CDTF">2023-02-07T12:01:00Z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